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6AFF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01F86B00" w14:textId="43B7B5E4"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8F37F6">
        <w:rPr>
          <w:rFonts w:ascii="Verdana" w:hAnsi="Verdana"/>
          <w:b/>
          <w:szCs w:val="22"/>
        </w:rPr>
        <w:t>TRANSMITTAL</w:t>
      </w:r>
      <w:r w:rsidR="0036364A">
        <w:rPr>
          <w:rFonts w:ascii="Verdana" w:hAnsi="Verdana"/>
          <w:b/>
          <w:szCs w:val="22"/>
        </w:rPr>
        <w:t xml:space="preserve"> LETTER</w:t>
      </w:r>
      <w:r w:rsidR="008F37F6">
        <w:rPr>
          <w:rFonts w:ascii="Verdana" w:hAnsi="Verdana"/>
          <w:b/>
          <w:szCs w:val="22"/>
        </w:rPr>
        <w:t>, 14</w:t>
      </w:r>
      <w:r w:rsidR="004C56F8">
        <w:rPr>
          <w:rFonts w:ascii="Verdana" w:hAnsi="Verdana"/>
          <w:b/>
          <w:szCs w:val="22"/>
        </w:rPr>
        <w:t>-</w:t>
      </w:r>
      <w:r w:rsidR="00EA36BE">
        <w:rPr>
          <w:rFonts w:ascii="Verdana" w:hAnsi="Verdana"/>
          <w:b/>
          <w:szCs w:val="22"/>
        </w:rPr>
        <w:t>04</w:t>
      </w:r>
    </w:p>
    <w:p w14:paraId="01F86B01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01F86B02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01F86B03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01F86B04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01F86B05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01F86B06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01F86B07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8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4060A0">
        <w:rPr>
          <w:rFonts w:ascii="Verdana" w:hAnsi="Verdana"/>
          <w:szCs w:val="22"/>
        </w:rPr>
        <w:t>Tina Webb, Assistant Director</w:t>
      </w:r>
    </w:p>
    <w:p w14:paraId="01F86B0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01F86B0A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01F86B0B" w14:textId="5E641E50" w:rsidR="00792B23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E41064">
        <w:rPr>
          <w:rFonts w:ascii="Verdana" w:hAnsi="Verdana"/>
          <w:szCs w:val="22"/>
        </w:rPr>
        <w:t>April 15, 2014</w:t>
      </w:r>
    </w:p>
    <w:p w14:paraId="01F86B0C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24F8D071" w14:textId="7D029A5A" w:rsidR="00C12A6F" w:rsidRDefault="00E31F97" w:rsidP="001215A3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="001215A3">
        <w:rPr>
          <w:rFonts w:ascii="Verdana" w:hAnsi="Verdana"/>
          <w:szCs w:val="22"/>
        </w:rPr>
        <w:t>Medically Fragile Updates</w:t>
      </w:r>
      <w:r w:rsidR="00E41064">
        <w:rPr>
          <w:rFonts w:ascii="Verdana" w:hAnsi="Verdana"/>
          <w:szCs w:val="22"/>
        </w:rPr>
        <w:t xml:space="preserve"> and Changes in Levels of Care</w:t>
      </w:r>
      <w:r w:rsidR="001215A3">
        <w:rPr>
          <w:rFonts w:ascii="Verdana" w:hAnsi="Verdana"/>
          <w:szCs w:val="22"/>
        </w:rPr>
        <w:tab/>
      </w:r>
    </w:p>
    <w:p w14:paraId="1882BD44" w14:textId="77777777" w:rsidR="001215A3" w:rsidRDefault="001215A3" w:rsidP="001215A3">
      <w:pPr>
        <w:ind w:left="1440" w:hanging="1440"/>
        <w:rPr>
          <w:rFonts w:ascii="Verdana" w:hAnsi="Verdana"/>
          <w:sz w:val="21"/>
          <w:szCs w:val="21"/>
        </w:rPr>
      </w:pPr>
    </w:p>
    <w:p w14:paraId="007744A3" w14:textId="77777777" w:rsidR="00E41064" w:rsidRDefault="001215A3" w:rsidP="001215A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purpose of this transmittal is to inform staff of revisions being made to the medically fragile SOP</w:t>
      </w:r>
      <w:r w:rsidR="00E41064">
        <w:rPr>
          <w:rFonts w:ascii="Verdana" w:hAnsi="Verdana"/>
          <w:sz w:val="21"/>
          <w:szCs w:val="21"/>
        </w:rPr>
        <w:t xml:space="preserve"> as well as, planned placement moves for children when their level of care changes</w:t>
      </w:r>
      <w:r>
        <w:rPr>
          <w:rFonts w:ascii="Verdana" w:hAnsi="Verdana"/>
          <w:sz w:val="21"/>
          <w:szCs w:val="21"/>
        </w:rPr>
        <w:t xml:space="preserve">.  </w:t>
      </w:r>
    </w:p>
    <w:p w14:paraId="21649A2A" w14:textId="77777777" w:rsidR="00E41064" w:rsidRDefault="00E41064" w:rsidP="001215A3">
      <w:pPr>
        <w:rPr>
          <w:rFonts w:ascii="Verdana" w:hAnsi="Verdana"/>
          <w:sz w:val="21"/>
          <w:szCs w:val="21"/>
        </w:rPr>
      </w:pPr>
    </w:p>
    <w:p w14:paraId="01B2A3CE" w14:textId="178C82EA" w:rsidR="00E41064" w:rsidRDefault="00E41064" w:rsidP="001215A3">
      <w:pPr>
        <w:pStyle w:val="ListParagraph"/>
        <w:numPr>
          <w:ilvl w:val="0"/>
          <w:numId w:val="23"/>
        </w:numPr>
        <w:rPr>
          <w:rFonts w:ascii="Verdana" w:hAnsi="Verdana"/>
          <w:sz w:val="21"/>
          <w:szCs w:val="21"/>
        </w:rPr>
      </w:pPr>
      <w:r w:rsidRPr="00AD6C30">
        <w:rPr>
          <w:rFonts w:ascii="Verdana" w:hAnsi="Verdana"/>
          <w:b/>
          <w:sz w:val="21"/>
          <w:szCs w:val="21"/>
        </w:rPr>
        <w:t>Medically Fragile:</w:t>
      </w:r>
      <w:r>
        <w:rPr>
          <w:rFonts w:ascii="Verdana" w:hAnsi="Verdana"/>
          <w:sz w:val="21"/>
          <w:szCs w:val="21"/>
        </w:rPr>
        <w:t xml:space="preserve">  </w:t>
      </w:r>
      <w:r w:rsidR="001215A3" w:rsidRPr="00E41064">
        <w:rPr>
          <w:rFonts w:ascii="Verdana" w:hAnsi="Verdana"/>
          <w:sz w:val="21"/>
          <w:szCs w:val="21"/>
        </w:rPr>
        <w:t>Although many of the revisions</w:t>
      </w:r>
      <w:r>
        <w:rPr>
          <w:rFonts w:ascii="Verdana" w:hAnsi="Verdana"/>
          <w:sz w:val="21"/>
          <w:szCs w:val="21"/>
        </w:rPr>
        <w:t xml:space="preserve"> in this content</w:t>
      </w:r>
      <w:r w:rsidR="001215A3" w:rsidRPr="00E41064">
        <w:rPr>
          <w:rFonts w:ascii="Verdana" w:hAnsi="Verdana"/>
          <w:sz w:val="21"/>
          <w:szCs w:val="21"/>
        </w:rPr>
        <w:t xml:space="preserve"> are new</w:t>
      </w:r>
      <w:r>
        <w:rPr>
          <w:rFonts w:ascii="Verdana" w:hAnsi="Verdana"/>
          <w:sz w:val="21"/>
          <w:szCs w:val="21"/>
        </w:rPr>
        <w:t xml:space="preserve"> practices</w:t>
      </w:r>
      <w:r w:rsidR="001215A3" w:rsidRPr="00E41064">
        <w:rPr>
          <w:rFonts w:ascii="Verdana" w:hAnsi="Verdana"/>
          <w:sz w:val="21"/>
          <w:szCs w:val="21"/>
        </w:rPr>
        <w:t>; there are also many updates involving practices that are currently in place and language has simply been added to SOP for consistency and clarification.</w:t>
      </w:r>
      <w:r w:rsidR="00263031">
        <w:rPr>
          <w:rFonts w:ascii="Verdana" w:hAnsi="Verdana"/>
          <w:sz w:val="21"/>
          <w:szCs w:val="21"/>
        </w:rPr>
        <w:t xml:space="preserve">  Revisions made regarding medically fragile SOP will be made effective on </w:t>
      </w:r>
      <w:r w:rsidR="00263031" w:rsidRPr="00BB1386">
        <w:rPr>
          <w:rFonts w:ascii="Verdana" w:hAnsi="Verdana"/>
          <w:sz w:val="21"/>
          <w:szCs w:val="21"/>
          <w:u w:val="single"/>
        </w:rPr>
        <w:t>May 1, 2014</w:t>
      </w:r>
      <w:r w:rsidR="00263031">
        <w:rPr>
          <w:rFonts w:ascii="Verdana" w:hAnsi="Verdana"/>
          <w:sz w:val="21"/>
          <w:szCs w:val="21"/>
        </w:rPr>
        <w:t>.</w:t>
      </w:r>
    </w:p>
    <w:p w14:paraId="19510C24" w14:textId="69C30E49" w:rsidR="001215A3" w:rsidRPr="00E41064" w:rsidRDefault="001215A3" w:rsidP="001215A3">
      <w:pPr>
        <w:pStyle w:val="ListParagraph"/>
        <w:numPr>
          <w:ilvl w:val="1"/>
          <w:numId w:val="23"/>
        </w:numPr>
        <w:ind w:left="1080"/>
        <w:rPr>
          <w:rFonts w:ascii="Verdana" w:hAnsi="Verdana"/>
          <w:sz w:val="21"/>
          <w:szCs w:val="21"/>
        </w:rPr>
      </w:pPr>
      <w:r w:rsidRPr="00E41064">
        <w:rPr>
          <w:rFonts w:ascii="Verdana" w:hAnsi="Verdana"/>
          <w:sz w:val="21"/>
          <w:szCs w:val="21"/>
        </w:rPr>
        <w:t xml:space="preserve">Please review the following sections regarding these revisions:  </w:t>
      </w:r>
    </w:p>
    <w:p w14:paraId="20A82129" w14:textId="3F4C125F" w:rsidR="001215A3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2" w:history="1">
        <w:r w:rsidR="001215A3" w:rsidRPr="00A00E65">
          <w:rPr>
            <w:rStyle w:val="Hyperlink"/>
            <w:rFonts w:ascii="Verdana" w:hAnsi="Verdana"/>
            <w:sz w:val="21"/>
            <w:szCs w:val="21"/>
          </w:rPr>
          <w:t>4.10.2 DCBS Medically Fragile Placement</w:t>
        </w:r>
      </w:hyperlink>
      <w:r w:rsidR="001215A3">
        <w:rPr>
          <w:rFonts w:ascii="Verdana" w:hAnsi="Verdana"/>
          <w:sz w:val="21"/>
          <w:szCs w:val="21"/>
        </w:rPr>
        <w:t>;</w:t>
      </w:r>
    </w:p>
    <w:p w14:paraId="5A2C39BC" w14:textId="48FA254F" w:rsidR="001215A3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3" w:history="1">
        <w:r w:rsidR="001215A3" w:rsidRPr="00470B26">
          <w:rPr>
            <w:rStyle w:val="Hyperlink"/>
            <w:rFonts w:ascii="Verdana" w:hAnsi="Verdana"/>
            <w:sz w:val="21"/>
            <w:szCs w:val="21"/>
          </w:rPr>
          <w:t>4.11 Private Child Placing (</w:t>
        </w:r>
        <w:r w:rsidR="00F87125" w:rsidRPr="00470B26">
          <w:rPr>
            <w:rStyle w:val="Hyperlink"/>
            <w:rFonts w:ascii="Verdana" w:hAnsi="Verdana"/>
            <w:sz w:val="21"/>
            <w:szCs w:val="21"/>
          </w:rPr>
          <w:t>PCP) or Child Caring (PCC) Agency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5B11FEB9" w14:textId="79FA84F6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4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4.11.1 Level of Care Assignment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4EA58098" w14:textId="29B0D030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5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4.11.3 Reviews of LOC Assignment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30E207EA" w14:textId="2AF098A9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6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4.24 SSW’s Ongoing Contact with the Birth Family and Child, Including the Medically Fragile Child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7FEC7A1F" w14:textId="76450E1C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7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4.26.1 Medical Passport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1AC94D28" w14:textId="41F8534A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8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4.26.5 Early Periodic Screening, Diagnosis and Treatment (EPSDT)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5215C748" w14:textId="3F3FBE05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19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4.27.1 Individual Health Plan for the Medically Fragile Child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788EB54F" w14:textId="3FCBB8F5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0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4.27.2 Extraordinary Medical Care/Medical Expenses of a Medically Fragile Child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31476EDC" w14:textId="29602759" w:rsidR="00F87125" w:rsidRPr="00376E36" w:rsidRDefault="00BB1386" w:rsidP="00376E36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1" w:history="1">
        <w:r w:rsidR="00F87125" w:rsidRPr="00470B26">
          <w:rPr>
            <w:rStyle w:val="Hyperlink"/>
            <w:rFonts w:ascii="Verdana" w:hAnsi="Verdana"/>
            <w:sz w:val="21"/>
            <w:szCs w:val="21"/>
          </w:rPr>
          <w:t>4.27.5 Ending Use of Life Support Systems</w:t>
        </w:r>
      </w:hyperlink>
      <w:r w:rsidR="00F87125" w:rsidRPr="00376E36">
        <w:rPr>
          <w:rFonts w:ascii="Verdana" w:hAnsi="Verdana"/>
          <w:sz w:val="21"/>
          <w:szCs w:val="21"/>
        </w:rPr>
        <w:t>;</w:t>
      </w:r>
    </w:p>
    <w:p w14:paraId="4471546C" w14:textId="5FC3C4CB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2" w:history="1">
        <w:r w:rsidR="00F87125" w:rsidRPr="00376E36">
          <w:rPr>
            <w:rStyle w:val="Hyperlink"/>
            <w:rFonts w:ascii="Verdana" w:hAnsi="Verdana"/>
            <w:sz w:val="21"/>
            <w:szCs w:val="21"/>
          </w:rPr>
          <w:t>4.29.2 Transition Planning for Youth Aging Out of OOHC or Extending Commitment</w:t>
        </w:r>
      </w:hyperlink>
      <w:r w:rsidR="00F87125">
        <w:rPr>
          <w:rFonts w:ascii="Verdana" w:hAnsi="Verdana"/>
          <w:sz w:val="21"/>
          <w:szCs w:val="21"/>
        </w:rPr>
        <w:t>;</w:t>
      </w:r>
    </w:p>
    <w:p w14:paraId="19789560" w14:textId="3EBB6991" w:rsidR="00F87125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3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4.49 Discharge Planning Prior to Leaving a Hospital or Treatment Facility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49FF3A59" w14:textId="2F09968A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4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4.54 Transportation and Out of State Travel with a Child in the Custody of the Cabinet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261B0A92" w14:textId="2197AFC8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5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4.55.1 Pregnant Youth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711FADCB" w14:textId="15ED76B6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6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12.6 Resource Home Parents Approve by Other States or Licensed Child Placing Agencies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326E3BAA" w14:textId="0CE88D83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7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12.10 Rights/Responsibilities of DCBS Resource Home Parents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268EA3FD" w14:textId="450836FB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8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12.11.1 Placement Exception Requests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36548FC2" w14:textId="6DF21767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29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12.12 Respite Care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7AC5C769" w14:textId="390DE335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30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12.15 Ongoing Training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1B674A57" w14:textId="0F7F630A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31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12.18 Specialized Foster Care Services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45BEE5EC" w14:textId="7CD44B56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32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12.18.3 Medically Fragile Home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3389A122" w14:textId="220D711F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33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12.19 Closure of a Resource Home and Reopening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666814C0" w14:textId="0172B521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34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12.24 Per Diem Rates (Including Specialized Foster Care)</w:t>
        </w:r>
      </w:hyperlink>
      <w:r w:rsidR="0019422C">
        <w:rPr>
          <w:rFonts w:ascii="Verdana" w:hAnsi="Verdana"/>
          <w:sz w:val="21"/>
          <w:szCs w:val="21"/>
        </w:rPr>
        <w:t>;</w:t>
      </w:r>
    </w:p>
    <w:p w14:paraId="542C48F0" w14:textId="73ECCC7F" w:rsidR="0019422C" w:rsidRDefault="00BB1386" w:rsidP="001215A3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35" w:history="1">
        <w:r w:rsidR="0019422C" w:rsidRPr="00376E36">
          <w:rPr>
            <w:rStyle w:val="Hyperlink"/>
            <w:rFonts w:ascii="Verdana" w:hAnsi="Verdana"/>
            <w:sz w:val="21"/>
            <w:szCs w:val="21"/>
          </w:rPr>
          <w:t>12.27 Transportation Expenses</w:t>
        </w:r>
      </w:hyperlink>
      <w:r w:rsidR="0019422C">
        <w:rPr>
          <w:rFonts w:ascii="Verdana" w:hAnsi="Verdana"/>
          <w:sz w:val="21"/>
          <w:szCs w:val="21"/>
        </w:rPr>
        <w:t>;</w:t>
      </w:r>
      <w:r w:rsidR="00DB0A82">
        <w:rPr>
          <w:rFonts w:ascii="Verdana" w:hAnsi="Verdana"/>
          <w:sz w:val="21"/>
          <w:szCs w:val="21"/>
        </w:rPr>
        <w:t xml:space="preserve"> and</w:t>
      </w:r>
    </w:p>
    <w:p w14:paraId="7DC9D2B2" w14:textId="48E1C160" w:rsidR="00E41064" w:rsidRDefault="00BB1386" w:rsidP="00E41064">
      <w:pPr>
        <w:pStyle w:val="ListParagraph"/>
        <w:numPr>
          <w:ilvl w:val="0"/>
          <w:numId w:val="22"/>
        </w:numPr>
        <w:rPr>
          <w:rFonts w:ascii="Verdana" w:hAnsi="Verdana"/>
          <w:sz w:val="21"/>
          <w:szCs w:val="21"/>
        </w:rPr>
      </w:pPr>
      <w:hyperlink r:id="rId36" w:history="1">
        <w:r w:rsidR="00DB0A82" w:rsidRPr="00376E36">
          <w:rPr>
            <w:rStyle w:val="Hyperlink"/>
            <w:rFonts w:ascii="Verdana" w:hAnsi="Verdana"/>
            <w:sz w:val="21"/>
            <w:szCs w:val="21"/>
          </w:rPr>
          <w:t>12.28 Respite Expenses</w:t>
        </w:r>
      </w:hyperlink>
      <w:r w:rsidR="00DB0A82">
        <w:rPr>
          <w:rFonts w:ascii="Verdana" w:hAnsi="Verdana"/>
          <w:sz w:val="21"/>
          <w:szCs w:val="21"/>
        </w:rPr>
        <w:t>.</w:t>
      </w:r>
      <w:r w:rsidR="00E41064">
        <w:rPr>
          <w:rFonts w:ascii="Verdana" w:hAnsi="Verdana"/>
          <w:sz w:val="21"/>
          <w:szCs w:val="21"/>
        </w:rPr>
        <w:br/>
      </w:r>
    </w:p>
    <w:p w14:paraId="486053D7" w14:textId="2A87990E" w:rsidR="00E41064" w:rsidRPr="00E41064" w:rsidRDefault="00E41064" w:rsidP="00E41064">
      <w:pPr>
        <w:pStyle w:val="ListParagraph"/>
        <w:numPr>
          <w:ilvl w:val="0"/>
          <w:numId w:val="23"/>
        </w:numPr>
        <w:rPr>
          <w:rFonts w:ascii="Verdana" w:hAnsi="Verdana"/>
          <w:sz w:val="21"/>
          <w:szCs w:val="21"/>
        </w:rPr>
      </w:pPr>
      <w:r w:rsidRPr="00E41064">
        <w:rPr>
          <w:rFonts w:ascii="Verdana" w:hAnsi="Verdana"/>
          <w:b/>
          <w:sz w:val="21"/>
          <w:szCs w:val="21"/>
        </w:rPr>
        <w:t>Changes in Level of Care (LOC):</w:t>
      </w:r>
      <w:r w:rsidRPr="00E41064">
        <w:rPr>
          <w:rFonts w:ascii="Verdana" w:hAnsi="Verdana"/>
          <w:sz w:val="21"/>
          <w:szCs w:val="21"/>
        </w:rPr>
        <w:t xml:space="preserve">  Based on the memorandum from Commissioner James, that was sent out in early April, no children with a LOC of three (3) or lower are permitted to be placed in a residential facility, without a documented exception from the Out of Home Care branch.  Children with a LOC of three (3) who are currently placed in a residential facility will need to be moved into a foster h</w:t>
      </w:r>
      <w:bookmarkStart w:id="0" w:name="_GoBack"/>
      <w:bookmarkEnd w:id="0"/>
      <w:r w:rsidRPr="00E41064">
        <w:rPr>
          <w:rFonts w:ascii="Verdana" w:hAnsi="Verdana"/>
          <w:sz w:val="21"/>
          <w:szCs w:val="21"/>
        </w:rPr>
        <w:t xml:space="preserve">ome within ninety (90) days.  In the future, children whose level changes from a four (4) or a five (5) down to a three (3) or </w:t>
      </w:r>
      <w:r w:rsidR="00263031" w:rsidRPr="00E41064">
        <w:rPr>
          <w:rFonts w:ascii="Verdana" w:hAnsi="Verdana"/>
          <w:sz w:val="21"/>
          <w:szCs w:val="21"/>
        </w:rPr>
        <w:t>lower</w:t>
      </w:r>
      <w:r w:rsidRPr="00E41064">
        <w:rPr>
          <w:rFonts w:ascii="Verdana" w:hAnsi="Verdana"/>
          <w:sz w:val="21"/>
          <w:szCs w:val="21"/>
        </w:rPr>
        <w:t xml:space="preserve"> will need to be moved from that environment within the same timeframe.</w:t>
      </w:r>
      <w:r w:rsidR="00263031">
        <w:rPr>
          <w:rFonts w:ascii="Verdana" w:hAnsi="Verdana"/>
          <w:sz w:val="21"/>
          <w:szCs w:val="21"/>
        </w:rPr>
        <w:t xml:space="preserve">  Revisions regarding this matter are </w:t>
      </w:r>
      <w:r w:rsidR="00263031" w:rsidRPr="00BB1386">
        <w:rPr>
          <w:rFonts w:ascii="Verdana" w:hAnsi="Verdana"/>
          <w:sz w:val="21"/>
          <w:szCs w:val="21"/>
          <w:u w:val="single"/>
        </w:rPr>
        <w:t>effective immediately</w:t>
      </w:r>
      <w:r w:rsidR="00263031">
        <w:rPr>
          <w:rFonts w:ascii="Verdana" w:hAnsi="Verdana"/>
          <w:sz w:val="21"/>
          <w:szCs w:val="21"/>
        </w:rPr>
        <w:t xml:space="preserve">.  </w:t>
      </w:r>
      <w:r w:rsidRPr="00E41064">
        <w:rPr>
          <w:rFonts w:ascii="Verdana" w:hAnsi="Verdana"/>
          <w:sz w:val="21"/>
          <w:szCs w:val="21"/>
        </w:rPr>
        <w:t xml:space="preserve">  </w:t>
      </w:r>
    </w:p>
    <w:p w14:paraId="327D44B6" w14:textId="77777777" w:rsidR="00E41064" w:rsidRDefault="00E41064" w:rsidP="00E41064">
      <w:pPr>
        <w:pStyle w:val="ListParagraph"/>
        <w:numPr>
          <w:ilvl w:val="1"/>
          <w:numId w:val="24"/>
        </w:numPr>
        <w:ind w:left="108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following SOP sections have been revised to reflect this change:</w:t>
      </w:r>
    </w:p>
    <w:p w14:paraId="0AC1B949" w14:textId="77777777" w:rsidR="00E41064" w:rsidRDefault="00BB1386" w:rsidP="00E41064">
      <w:pPr>
        <w:pStyle w:val="ListParagraph"/>
        <w:numPr>
          <w:ilvl w:val="2"/>
          <w:numId w:val="24"/>
        </w:numPr>
        <w:ind w:left="1440" w:hanging="360"/>
        <w:rPr>
          <w:rFonts w:ascii="Verdana" w:hAnsi="Verdana"/>
          <w:sz w:val="21"/>
          <w:szCs w:val="21"/>
        </w:rPr>
      </w:pPr>
      <w:hyperlink r:id="rId37" w:history="1">
        <w:r w:rsidR="00E41064" w:rsidRPr="006060EC">
          <w:rPr>
            <w:rStyle w:val="Hyperlink"/>
            <w:rFonts w:ascii="Verdana" w:hAnsi="Verdana"/>
            <w:sz w:val="21"/>
            <w:szCs w:val="21"/>
          </w:rPr>
          <w:t>1.8 Prevention Planning</w:t>
        </w:r>
      </w:hyperlink>
      <w:r w:rsidR="00E41064">
        <w:rPr>
          <w:rFonts w:ascii="Verdana" w:hAnsi="Verdana"/>
          <w:sz w:val="21"/>
          <w:szCs w:val="21"/>
        </w:rPr>
        <w:t>;</w:t>
      </w:r>
    </w:p>
    <w:p w14:paraId="44EDDDB7" w14:textId="77777777" w:rsidR="00E41064" w:rsidRDefault="00BB1386" w:rsidP="00E41064">
      <w:pPr>
        <w:pStyle w:val="ListParagraph"/>
        <w:numPr>
          <w:ilvl w:val="2"/>
          <w:numId w:val="24"/>
        </w:numPr>
        <w:ind w:left="1440" w:hanging="360"/>
        <w:rPr>
          <w:rFonts w:ascii="Verdana" w:hAnsi="Verdana"/>
          <w:sz w:val="21"/>
          <w:szCs w:val="21"/>
        </w:rPr>
      </w:pPr>
      <w:hyperlink r:id="rId38" w:history="1">
        <w:r w:rsidR="00E41064" w:rsidRPr="006060EC">
          <w:rPr>
            <w:rStyle w:val="Hyperlink"/>
            <w:rFonts w:ascii="Verdana" w:hAnsi="Verdana"/>
            <w:sz w:val="21"/>
            <w:szCs w:val="21"/>
          </w:rPr>
          <w:t>4.11 Private Child Placing (PCP) or Child Caring (PCC) Agency</w:t>
        </w:r>
      </w:hyperlink>
      <w:r w:rsidR="00E41064">
        <w:rPr>
          <w:rFonts w:ascii="Verdana" w:hAnsi="Verdana"/>
          <w:sz w:val="21"/>
          <w:szCs w:val="21"/>
        </w:rPr>
        <w:t>;</w:t>
      </w:r>
    </w:p>
    <w:p w14:paraId="745F9828" w14:textId="77777777" w:rsidR="00E41064" w:rsidRDefault="00BB1386" w:rsidP="00E41064">
      <w:pPr>
        <w:pStyle w:val="ListParagraph"/>
        <w:numPr>
          <w:ilvl w:val="2"/>
          <w:numId w:val="24"/>
        </w:numPr>
        <w:ind w:left="1440" w:hanging="360"/>
        <w:rPr>
          <w:rFonts w:ascii="Verdana" w:hAnsi="Verdana"/>
          <w:sz w:val="21"/>
          <w:szCs w:val="21"/>
        </w:rPr>
      </w:pPr>
      <w:hyperlink r:id="rId39" w:history="1">
        <w:r w:rsidR="00E41064" w:rsidRPr="006060EC">
          <w:rPr>
            <w:rStyle w:val="Hyperlink"/>
            <w:rFonts w:ascii="Verdana" w:hAnsi="Verdana"/>
            <w:sz w:val="21"/>
            <w:szCs w:val="21"/>
          </w:rPr>
          <w:t>4.11.3 Reviews of LOC Assignment</w:t>
        </w:r>
      </w:hyperlink>
      <w:r w:rsidR="00E41064">
        <w:rPr>
          <w:rFonts w:ascii="Verdana" w:hAnsi="Verdana"/>
          <w:sz w:val="21"/>
          <w:szCs w:val="21"/>
        </w:rPr>
        <w:t>; and</w:t>
      </w:r>
    </w:p>
    <w:p w14:paraId="125D3F34" w14:textId="77777777" w:rsidR="00E41064" w:rsidRPr="00CE7DDC" w:rsidRDefault="00BB1386" w:rsidP="00E41064">
      <w:pPr>
        <w:pStyle w:val="ListParagraph"/>
        <w:numPr>
          <w:ilvl w:val="2"/>
          <w:numId w:val="24"/>
        </w:numPr>
        <w:ind w:left="1440" w:hanging="360"/>
        <w:rPr>
          <w:rFonts w:ascii="Verdana" w:hAnsi="Verdana"/>
          <w:sz w:val="21"/>
          <w:szCs w:val="21"/>
        </w:rPr>
      </w:pPr>
      <w:hyperlink r:id="rId40" w:history="1">
        <w:r w:rsidR="00E41064" w:rsidRPr="006060EC">
          <w:rPr>
            <w:rStyle w:val="Hyperlink"/>
            <w:rFonts w:ascii="Verdana" w:hAnsi="Verdana"/>
            <w:sz w:val="21"/>
            <w:szCs w:val="21"/>
          </w:rPr>
          <w:t>4.11.4 Change in LOC Assignment</w:t>
        </w:r>
      </w:hyperlink>
      <w:r w:rsidR="00E41064">
        <w:rPr>
          <w:rFonts w:ascii="Verdana" w:hAnsi="Verdana"/>
          <w:sz w:val="21"/>
          <w:szCs w:val="21"/>
        </w:rPr>
        <w:t>.</w:t>
      </w:r>
    </w:p>
    <w:p w14:paraId="0FA7C888" w14:textId="77777777" w:rsidR="00E41064" w:rsidRPr="00E41064" w:rsidRDefault="00E41064" w:rsidP="00E41064">
      <w:pPr>
        <w:rPr>
          <w:rFonts w:ascii="Verdana" w:hAnsi="Verdana"/>
          <w:sz w:val="21"/>
          <w:szCs w:val="21"/>
        </w:rPr>
      </w:pPr>
    </w:p>
    <w:p w14:paraId="3189F8C8" w14:textId="67D306AF" w:rsidR="00A00E65" w:rsidRDefault="00A00E65" w:rsidP="00A00E6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If you h</w:t>
      </w:r>
      <w:r w:rsidR="00E41064">
        <w:rPr>
          <w:rFonts w:ascii="Verdana" w:hAnsi="Verdana"/>
          <w:sz w:val="21"/>
          <w:szCs w:val="21"/>
        </w:rPr>
        <w:t>ave any questions regarding the medically fragile content revisions</w:t>
      </w:r>
      <w:r>
        <w:rPr>
          <w:rFonts w:ascii="Verdana" w:hAnsi="Verdana"/>
          <w:sz w:val="21"/>
          <w:szCs w:val="21"/>
        </w:rPr>
        <w:t xml:space="preserve"> please contact: </w:t>
      </w:r>
    </w:p>
    <w:p w14:paraId="61DB44C4" w14:textId="77777777" w:rsidR="00A00E65" w:rsidRDefault="00A00E65" w:rsidP="00A00E65">
      <w:pPr>
        <w:rPr>
          <w:rFonts w:ascii="Verdana" w:hAnsi="Verdana"/>
          <w:sz w:val="21"/>
          <w:szCs w:val="21"/>
        </w:rPr>
      </w:pPr>
    </w:p>
    <w:p w14:paraId="3E38B353" w14:textId="77777777" w:rsidR="00A00E65" w:rsidRDefault="00A00E65" w:rsidP="00A00E6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Diane Glenn</w:t>
      </w:r>
    </w:p>
    <w:p w14:paraId="754ECFB0" w14:textId="77777777" w:rsidR="00A00E65" w:rsidRDefault="00BB1386" w:rsidP="00A00E65">
      <w:pPr>
        <w:rPr>
          <w:rFonts w:ascii="Verdana" w:hAnsi="Verdana"/>
          <w:sz w:val="21"/>
          <w:szCs w:val="21"/>
        </w:rPr>
      </w:pPr>
      <w:hyperlink r:id="rId41" w:history="1">
        <w:r w:rsidR="00A00E65" w:rsidRPr="00A13833">
          <w:rPr>
            <w:rStyle w:val="Hyperlink"/>
            <w:rFonts w:ascii="Verdana" w:hAnsi="Verdana"/>
            <w:sz w:val="21"/>
            <w:szCs w:val="21"/>
          </w:rPr>
          <w:t>dianec.glenn@ky.gov</w:t>
        </w:r>
      </w:hyperlink>
      <w:r w:rsidR="00A00E65">
        <w:rPr>
          <w:rFonts w:ascii="Verdana" w:hAnsi="Verdana"/>
          <w:sz w:val="21"/>
          <w:szCs w:val="21"/>
        </w:rPr>
        <w:t xml:space="preserve"> </w:t>
      </w:r>
    </w:p>
    <w:p w14:paraId="3AAEF2A0" w14:textId="7F8BFC52" w:rsidR="00A00E65" w:rsidRDefault="00A00E65" w:rsidP="00A00E6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(502) 564-6852, ext. 3574; or</w:t>
      </w:r>
    </w:p>
    <w:p w14:paraId="630CDD20" w14:textId="77777777" w:rsidR="00A00E65" w:rsidRDefault="00A00E65" w:rsidP="00A00E65">
      <w:pPr>
        <w:rPr>
          <w:rFonts w:ascii="Verdana" w:hAnsi="Verdana"/>
          <w:sz w:val="21"/>
          <w:szCs w:val="21"/>
        </w:rPr>
      </w:pPr>
    </w:p>
    <w:p w14:paraId="385BE4FA" w14:textId="2873B14F" w:rsidR="00A00E65" w:rsidRDefault="00A00E65" w:rsidP="00A00E6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Tina Hagenbuch</w:t>
      </w:r>
    </w:p>
    <w:p w14:paraId="386C2928" w14:textId="4664EEEE" w:rsidR="00A00E65" w:rsidRDefault="00BB1386" w:rsidP="00A00E65">
      <w:pPr>
        <w:rPr>
          <w:rFonts w:ascii="Verdana" w:hAnsi="Verdana"/>
          <w:sz w:val="21"/>
          <w:szCs w:val="21"/>
        </w:rPr>
      </w:pPr>
      <w:hyperlink r:id="rId42" w:history="1">
        <w:r w:rsidR="00A00E65" w:rsidRPr="00A13833">
          <w:rPr>
            <w:rStyle w:val="Hyperlink"/>
            <w:rFonts w:ascii="Verdana" w:hAnsi="Verdana"/>
            <w:sz w:val="21"/>
            <w:szCs w:val="21"/>
          </w:rPr>
          <w:t>Tina.hagenbuch@ky.gov</w:t>
        </w:r>
      </w:hyperlink>
    </w:p>
    <w:p w14:paraId="17F5BEE1" w14:textId="0A39AE2A" w:rsidR="00A00E65" w:rsidRDefault="00A00E65" w:rsidP="00A00E6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(502) 564-6852, ext. 3577</w:t>
      </w:r>
    </w:p>
    <w:p w14:paraId="25B45DD0" w14:textId="77777777" w:rsidR="00E41064" w:rsidRDefault="00E41064" w:rsidP="00A00E65">
      <w:pPr>
        <w:rPr>
          <w:rFonts w:ascii="Verdana" w:hAnsi="Verdana"/>
          <w:sz w:val="21"/>
          <w:szCs w:val="21"/>
        </w:rPr>
      </w:pPr>
    </w:p>
    <w:p w14:paraId="137FC02B" w14:textId="26FBEFAA" w:rsidR="00E41064" w:rsidRPr="00A00E65" w:rsidRDefault="00E41064" w:rsidP="00A00E65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For questions regarding placement moves based on LOC changes, please contact Tina Hagenbuch.  </w:t>
      </w:r>
    </w:p>
    <w:p w14:paraId="01F86B14" w14:textId="77777777" w:rsidR="00286545" w:rsidRPr="007D239D" w:rsidRDefault="00286545">
      <w:pPr>
        <w:rPr>
          <w:rFonts w:ascii="Verdana" w:hAnsi="Verdana"/>
          <w:sz w:val="21"/>
          <w:szCs w:val="21"/>
        </w:rPr>
      </w:pPr>
    </w:p>
    <w:sectPr w:rsidR="00286545" w:rsidRPr="007D239D" w:rsidSect="004062E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86B17" w14:textId="77777777" w:rsidR="00470B26" w:rsidRDefault="00470B26">
      <w:r>
        <w:separator/>
      </w:r>
    </w:p>
  </w:endnote>
  <w:endnote w:type="continuationSeparator" w:id="0">
    <w:p w14:paraId="01F86B18" w14:textId="77777777" w:rsidR="00470B26" w:rsidRDefault="0047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B" w14:textId="77777777" w:rsidR="00470B26" w:rsidRDefault="00470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C" w14:textId="77777777" w:rsidR="00470B26" w:rsidRDefault="00470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2C" w14:textId="77777777" w:rsidR="00470B26" w:rsidRDefault="00470B26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F86B32" wp14:editId="01F86B33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A" w14:textId="77777777" w:rsidR="00470B26" w:rsidRDefault="00470B26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01F86B3F" wp14:editId="01F86B40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14:paraId="01F86B3A" w14:textId="77777777" w:rsidR="00470B26" w:rsidRDefault="00470B26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01F86B3F" wp14:editId="01F86B40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2D" w14:textId="77777777" w:rsidR="00470B26" w:rsidRPr="00524DAE" w:rsidRDefault="00470B26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6B15" w14:textId="77777777" w:rsidR="00470B26" w:rsidRDefault="00470B26">
      <w:r>
        <w:separator/>
      </w:r>
    </w:p>
  </w:footnote>
  <w:footnote w:type="continuationSeparator" w:id="0">
    <w:p w14:paraId="01F86B16" w14:textId="77777777" w:rsidR="00470B26" w:rsidRDefault="00470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9" w14:textId="77777777" w:rsidR="00470B26" w:rsidRDefault="00470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A" w14:textId="77777777" w:rsidR="00470B26" w:rsidRDefault="00470B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6B1D" w14:textId="50911095" w:rsidR="00470B26" w:rsidRDefault="00470B26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F86B2E" wp14:editId="01F86B2F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4" w14:textId="77777777" w:rsidR="00470B26" w:rsidRDefault="00470B26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01F86B3B" wp14:editId="01F86B3C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F86B3D" wp14:editId="01F86B3E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14:paraId="01F86B34" w14:textId="77777777" w:rsidR="00470B26" w:rsidRDefault="00470B26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01F86B3B" wp14:editId="01F86B3C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1F86B3D" wp14:editId="01F86B3E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F86B1E" w14:textId="77777777" w:rsidR="00470B26" w:rsidRDefault="00470B26" w:rsidP="00797852">
    <w:pPr>
      <w:tabs>
        <w:tab w:val="center" w:pos="5264"/>
      </w:tabs>
      <w:spacing w:line="220" w:lineRule="atLeast"/>
      <w:rPr>
        <w:sz w:val="20"/>
      </w:rPr>
    </w:pPr>
  </w:p>
  <w:p w14:paraId="01F86B1F" w14:textId="77777777" w:rsidR="00470B26" w:rsidRDefault="00470B26" w:rsidP="00797852">
    <w:pPr>
      <w:spacing w:line="220" w:lineRule="atLeast"/>
      <w:rPr>
        <w:sz w:val="20"/>
      </w:rPr>
    </w:pPr>
  </w:p>
  <w:p w14:paraId="01F86B20" w14:textId="77777777" w:rsidR="00470B26" w:rsidRDefault="00470B26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01F86B21" w14:textId="77777777" w:rsidR="00470B26" w:rsidRDefault="00470B26" w:rsidP="00797852">
    <w:pPr>
      <w:spacing w:line="260" w:lineRule="atLeast"/>
      <w:rPr>
        <w:sz w:val="20"/>
      </w:rPr>
    </w:pPr>
  </w:p>
  <w:p w14:paraId="01F86B22" w14:textId="77777777" w:rsidR="00470B26" w:rsidRDefault="00470B26" w:rsidP="00797852">
    <w:pPr>
      <w:spacing w:line="260" w:lineRule="atLeast"/>
      <w:rPr>
        <w:sz w:val="20"/>
      </w:rPr>
    </w:pPr>
  </w:p>
  <w:p w14:paraId="01F86B23" w14:textId="77777777" w:rsidR="00470B26" w:rsidRDefault="00470B26" w:rsidP="00797852">
    <w:pPr>
      <w:spacing w:line="140" w:lineRule="atLeast"/>
      <w:rPr>
        <w:sz w:val="20"/>
      </w:rPr>
    </w:pPr>
  </w:p>
  <w:p w14:paraId="01F86B24" w14:textId="77777777" w:rsidR="00470B26" w:rsidRDefault="00470B26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01F86B25" w14:textId="77777777" w:rsidR="00470B26" w:rsidRDefault="00470B26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01F86B26" w14:textId="77777777" w:rsidR="00470B26" w:rsidRDefault="00470B26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86B30" wp14:editId="01F86B31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86B35" w14:textId="77777777" w:rsidR="00470B26" w:rsidRDefault="00470B26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01F86B36" w14:textId="77777777" w:rsidR="00470B26" w:rsidRDefault="00470B26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01F86B37" w14:textId="77777777" w:rsidR="00470B26" w:rsidRDefault="00470B26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01F86B38" w14:textId="77777777" w:rsidR="00470B26" w:rsidRDefault="00470B26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01F86B39" w14:textId="77777777" w:rsidR="00470B26" w:rsidRDefault="00470B26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14:paraId="01F86B35" w14:textId="77777777" w:rsidR="00470B26" w:rsidRDefault="00470B26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14:paraId="01F86B36" w14:textId="77777777" w:rsidR="00470B26" w:rsidRDefault="00470B26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14:paraId="01F86B37" w14:textId="77777777" w:rsidR="00470B26" w:rsidRDefault="00470B26" w:rsidP="00797852">
                    <w:pPr>
                      <w:pStyle w:val="Address"/>
                    </w:pPr>
                    <w:r>
                      <w:t>502-564-7042</w:t>
                    </w:r>
                  </w:p>
                  <w:p w14:paraId="01F86B38" w14:textId="77777777" w:rsidR="00470B26" w:rsidRDefault="00470B26" w:rsidP="00797852">
                    <w:pPr>
                      <w:pStyle w:val="Address"/>
                    </w:pPr>
                    <w:r>
                      <w:t>502-564-7091</w:t>
                    </w:r>
                  </w:p>
                  <w:p w14:paraId="01F86B39" w14:textId="77777777" w:rsidR="00470B26" w:rsidRDefault="00470B26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01F86B27" w14:textId="77777777" w:rsidR="00470B26" w:rsidRDefault="00470B26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01F86B28" w14:textId="77777777" w:rsidR="00470B26" w:rsidRDefault="00470B26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01F86B29" w14:textId="77777777" w:rsidR="00470B26" w:rsidRDefault="00470B26" w:rsidP="00797852">
    <w:pPr>
      <w:pStyle w:val="GovSecretaryDeputySecname"/>
    </w:pPr>
  </w:p>
  <w:p w14:paraId="01F86B2A" w14:textId="77777777" w:rsidR="00470B26" w:rsidRDefault="00470B26" w:rsidP="00797852">
    <w:pPr>
      <w:pStyle w:val="GovSecretaryDeputySectilte"/>
    </w:pPr>
    <w:r>
      <w:tab/>
    </w:r>
  </w:p>
  <w:p w14:paraId="01F86B2B" w14:textId="77777777" w:rsidR="00470B26" w:rsidRPr="00797852" w:rsidRDefault="00470B26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E4"/>
    <w:multiLevelType w:val="hybridMultilevel"/>
    <w:tmpl w:val="E708999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5454682"/>
    <w:multiLevelType w:val="hybridMultilevel"/>
    <w:tmpl w:val="699E5FF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4464D"/>
    <w:multiLevelType w:val="hybridMultilevel"/>
    <w:tmpl w:val="8244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D69B6"/>
    <w:multiLevelType w:val="hybridMultilevel"/>
    <w:tmpl w:val="90B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9">
    <w:nsid w:val="2819075E"/>
    <w:multiLevelType w:val="hybridMultilevel"/>
    <w:tmpl w:val="A808E0E6"/>
    <w:lvl w:ilvl="0" w:tplc="8DBAB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D378C"/>
    <w:multiLevelType w:val="hybridMultilevel"/>
    <w:tmpl w:val="80FE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EC2470"/>
    <w:multiLevelType w:val="hybridMultilevel"/>
    <w:tmpl w:val="7C2C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65D14"/>
    <w:multiLevelType w:val="hybridMultilevel"/>
    <w:tmpl w:val="3D36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0">
    <w:nsid w:val="554A4C8B"/>
    <w:multiLevelType w:val="hybridMultilevel"/>
    <w:tmpl w:val="799A7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8B7B7A"/>
    <w:multiLevelType w:val="multilevel"/>
    <w:tmpl w:val="953E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2683F"/>
    <w:multiLevelType w:val="hybridMultilevel"/>
    <w:tmpl w:val="12D0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3"/>
  </w:num>
  <w:num w:numId="5">
    <w:abstractNumId w:val="22"/>
  </w:num>
  <w:num w:numId="6">
    <w:abstractNumId w:val="11"/>
  </w:num>
  <w:num w:numId="7">
    <w:abstractNumId w:val="6"/>
  </w:num>
  <w:num w:numId="8">
    <w:abstractNumId w:val="15"/>
  </w:num>
  <w:num w:numId="9">
    <w:abstractNumId w:val="16"/>
  </w:num>
  <w:num w:numId="10">
    <w:abstractNumId w:val="2"/>
  </w:num>
  <w:num w:numId="11">
    <w:abstractNumId w:val="13"/>
  </w:num>
  <w:num w:numId="12">
    <w:abstractNumId w:val="19"/>
  </w:num>
  <w:num w:numId="13">
    <w:abstractNumId w:val="8"/>
  </w:num>
  <w:num w:numId="14">
    <w:abstractNumId w:val="14"/>
  </w:num>
  <w:num w:numId="15">
    <w:abstractNumId w:val="23"/>
  </w:num>
  <w:num w:numId="16">
    <w:abstractNumId w:val="21"/>
  </w:num>
  <w:num w:numId="17">
    <w:abstractNumId w:val="1"/>
  </w:num>
  <w:num w:numId="18">
    <w:abstractNumId w:val="4"/>
  </w:num>
  <w:num w:numId="19">
    <w:abstractNumId w:val="5"/>
  </w:num>
  <w:num w:numId="20">
    <w:abstractNumId w:val="10"/>
  </w:num>
  <w:num w:numId="21">
    <w:abstractNumId w:val="0"/>
  </w:num>
  <w:num w:numId="22">
    <w:abstractNumId w:val="20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501FD"/>
    <w:rsid w:val="00072FBF"/>
    <w:rsid w:val="00080C8B"/>
    <w:rsid w:val="00091870"/>
    <w:rsid w:val="000B38C3"/>
    <w:rsid w:val="000C65CA"/>
    <w:rsid w:val="000D26FF"/>
    <w:rsid w:val="000D68D5"/>
    <w:rsid w:val="000E3849"/>
    <w:rsid w:val="000E6D79"/>
    <w:rsid w:val="001215A3"/>
    <w:rsid w:val="00126C21"/>
    <w:rsid w:val="0012752E"/>
    <w:rsid w:val="00130405"/>
    <w:rsid w:val="0017490F"/>
    <w:rsid w:val="00191703"/>
    <w:rsid w:val="001934E5"/>
    <w:rsid w:val="0019422C"/>
    <w:rsid w:val="001D6A40"/>
    <w:rsid w:val="001F3FE8"/>
    <w:rsid w:val="00202F1C"/>
    <w:rsid w:val="00220749"/>
    <w:rsid w:val="002257A4"/>
    <w:rsid w:val="00225B33"/>
    <w:rsid w:val="0022740C"/>
    <w:rsid w:val="00227F3F"/>
    <w:rsid w:val="00235D08"/>
    <w:rsid w:val="00237F32"/>
    <w:rsid w:val="0024483B"/>
    <w:rsid w:val="00263031"/>
    <w:rsid w:val="002809D0"/>
    <w:rsid w:val="00280D3D"/>
    <w:rsid w:val="00286545"/>
    <w:rsid w:val="0029222B"/>
    <w:rsid w:val="002B19FB"/>
    <w:rsid w:val="002C690C"/>
    <w:rsid w:val="002D29D3"/>
    <w:rsid w:val="002D5CBA"/>
    <w:rsid w:val="002E26B7"/>
    <w:rsid w:val="002E617B"/>
    <w:rsid w:val="002F64A1"/>
    <w:rsid w:val="0030161C"/>
    <w:rsid w:val="003134FB"/>
    <w:rsid w:val="00314852"/>
    <w:rsid w:val="00322E22"/>
    <w:rsid w:val="00334BF9"/>
    <w:rsid w:val="00344CC9"/>
    <w:rsid w:val="0036364A"/>
    <w:rsid w:val="003758DD"/>
    <w:rsid w:val="00376E36"/>
    <w:rsid w:val="00377B60"/>
    <w:rsid w:val="00387552"/>
    <w:rsid w:val="00391FEC"/>
    <w:rsid w:val="00397097"/>
    <w:rsid w:val="003C0AEC"/>
    <w:rsid w:val="003C10B5"/>
    <w:rsid w:val="003C5712"/>
    <w:rsid w:val="003D1987"/>
    <w:rsid w:val="003D486F"/>
    <w:rsid w:val="003D5657"/>
    <w:rsid w:val="003F166A"/>
    <w:rsid w:val="003F1A83"/>
    <w:rsid w:val="004060A0"/>
    <w:rsid w:val="004062E2"/>
    <w:rsid w:val="00407DF6"/>
    <w:rsid w:val="0041185C"/>
    <w:rsid w:val="00427A0E"/>
    <w:rsid w:val="00436673"/>
    <w:rsid w:val="00447085"/>
    <w:rsid w:val="00464785"/>
    <w:rsid w:val="004669B5"/>
    <w:rsid w:val="00470B26"/>
    <w:rsid w:val="004A082C"/>
    <w:rsid w:val="004A3652"/>
    <w:rsid w:val="004C56F8"/>
    <w:rsid w:val="005135DD"/>
    <w:rsid w:val="0052108B"/>
    <w:rsid w:val="00524DAE"/>
    <w:rsid w:val="00532EBB"/>
    <w:rsid w:val="00541EA0"/>
    <w:rsid w:val="005509FB"/>
    <w:rsid w:val="005524AC"/>
    <w:rsid w:val="00560F32"/>
    <w:rsid w:val="00563D5B"/>
    <w:rsid w:val="00584914"/>
    <w:rsid w:val="00585967"/>
    <w:rsid w:val="005922E1"/>
    <w:rsid w:val="00596549"/>
    <w:rsid w:val="005A073E"/>
    <w:rsid w:val="005A4947"/>
    <w:rsid w:val="005B2FBA"/>
    <w:rsid w:val="005C64C2"/>
    <w:rsid w:val="005C791E"/>
    <w:rsid w:val="005E06F7"/>
    <w:rsid w:val="005E7EDA"/>
    <w:rsid w:val="005F1332"/>
    <w:rsid w:val="00601ECA"/>
    <w:rsid w:val="006160CA"/>
    <w:rsid w:val="00626F38"/>
    <w:rsid w:val="00633FA6"/>
    <w:rsid w:val="0063467E"/>
    <w:rsid w:val="00642A9D"/>
    <w:rsid w:val="00645985"/>
    <w:rsid w:val="00646497"/>
    <w:rsid w:val="0066589B"/>
    <w:rsid w:val="006816B5"/>
    <w:rsid w:val="0068667E"/>
    <w:rsid w:val="0069732D"/>
    <w:rsid w:val="006A20BB"/>
    <w:rsid w:val="006A6B73"/>
    <w:rsid w:val="006A7CD8"/>
    <w:rsid w:val="006B2951"/>
    <w:rsid w:val="006B3577"/>
    <w:rsid w:val="006C43DA"/>
    <w:rsid w:val="006C6F62"/>
    <w:rsid w:val="006C76F7"/>
    <w:rsid w:val="006E13C9"/>
    <w:rsid w:val="006E2D47"/>
    <w:rsid w:val="007171EB"/>
    <w:rsid w:val="0071771E"/>
    <w:rsid w:val="0075401B"/>
    <w:rsid w:val="00792735"/>
    <w:rsid w:val="00792B23"/>
    <w:rsid w:val="00797852"/>
    <w:rsid w:val="007A0FC9"/>
    <w:rsid w:val="007A2388"/>
    <w:rsid w:val="007B16CD"/>
    <w:rsid w:val="007C6486"/>
    <w:rsid w:val="007D217B"/>
    <w:rsid w:val="007D239D"/>
    <w:rsid w:val="007F42F7"/>
    <w:rsid w:val="007F5F6E"/>
    <w:rsid w:val="0081658E"/>
    <w:rsid w:val="0081742B"/>
    <w:rsid w:val="00841387"/>
    <w:rsid w:val="00867DE4"/>
    <w:rsid w:val="00883F63"/>
    <w:rsid w:val="008A33B7"/>
    <w:rsid w:val="008A414C"/>
    <w:rsid w:val="008B7EFF"/>
    <w:rsid w:val="008C09F2"/>
    <w:rsid w:val="008D02D6"/>
    <w:rsid w:val="008D6F4E"/>
    <w:rsid w:val="008F339D"/>
    <w:rsid w:val="008F37F6"/>
    <w:rsid w:val="009005C0"/>
    <w:rsid w:val="009233AE"/>
    <w:rsid w:val="00923E87"/>
    <w:rsid w:val="00924D99"/>
    <w:rsid w:val="009317D4"/>
    <w:rsid w:val="00941C0D"/>
    <w:rsid w:val="00954677"/>
    <w:rsid w:val="00963F73"/>
    <w:rsid w:val="009651EB"/>
    <w:rsid w:val="00966E9F"/>
    <w:rsid w:val="00992582"/>
    <w:rsid w:val="009A7E2A"/>
    <w:rsid w:val="009B40EE"/>
    <w:rsid w:val="009D276D"/>
    <w:rsid w:val="009D3789"/>
    <w:rsid w:val="009E026F"/>
    <w:rsid w:val="009E638F"/>
    <w:rsid w:val="00A00E65"/>
    <w:rsid w:val="00A07E8E"/>
    <w:rsid w:val="00A13BC5"/>
    <w:rsid w:val="00A15CB9"/>
    <w:rsid w:val="00A23E6C"/>
    <w:rsid w:val="00A269C2"/>
    <w:rsid w:val="00A41E44"/>
    <w:rsid w:val="00A4613D"/>
    <w:rsid w:val="00A633D7"/>
    <w:rsid w:val="00A73643"/>
    <w:rsid w:val="00A83EF3"/>
    <w:rsid w:val="00AA1E65"/>
    <w:rsid w:val="00AA7C21"/>
    <w:rsid w:val="00AC036F"/>
    <w:rsid w:val="00AD6C30"/>
    <w:rsid w:val="00AE21C3"/>
    <w:rsid w:val="00AF18AA"/>
    <w:rsid w:val="00B33CC2"/>
    <w:rsid w:val="00B364EA"/>
    <w:rsid w:val="00B428A3"/>
    <w:rsid w:val="00B434D8"/>
    <w:rsid w:val="00B5566E"/>
    <w:rsid w:val="00B56785"/>
    <w:rsid w:val="00B82F96"/>
    <w:rsid w:val="00B85E7C"/>
    <w:rsid w:val="00BA176E"/>
    <w:rsid w:val="00BB1386"/>
    <w:rsid w:val="00BC21CE"/>
    <w:rsid w:val="00BC3AD0"/>
    <w:rsid w:val="00BC431F"/>
    <w:rsid w:val="00BC67F5"/>
    <w:rsid w:val="00BE6B02"/>
    <w:rsid w:val="00BF0C1F"/>
    <w:rsid w:val="00BF1D9F"/>
    <w:rsid w:val="00BF3A23"/>
    <w:rsid w:val="00BF6623"/>
    <w:rsid w:val="00C10849"/>
    <w:rsid w:val="00C12A6F"/>
    <w:rsid w:val="00C1319F"/>
    <w:rsid w:val="00C56A89"/>
    <w:rsid w:val="00C61146"/>
    <w:rsid w:val="00C64E29"/>
    <w:rsid w:val="00C66601"/>
    <w:rsid w:val="00C81A66"/>
    <w:rsid w:val="00C84488"/>
    <w:rsid w:val="00C847BD"/>
    <w:rsid w:val="00C87F1F"/>
    <w:rsid w:val="00CB0280"/>
    <w:rsid w:val="00CC1C59"/>
    <w:rsid w:val="00CD13E7"/>
    <w:rsid w:val="00D02EA4"/>
    <w:rsid w:val="00D03318"/>
    <w:rsid w:val="00D03565"/>
    <w:rsid w:val="00D070A4"/>
    <w:rsid w:val="00D351DF"/>
    <w:rsid w:val="00D3596D"/>
    <w:rsid w:val="00D446F7"/>
    <w:rsid w:val="00D544E0"/>
    <w:rsid w:val="00D55AC9"/>
    <w:rsid w:val="00D5798D"/>
    <w:rsid w:val="00D62EDF"/>
    <w:rsid w:val="00D73EAC"/>
    <w:rsid w:val="00D74C88"/>
    <w:rsid w:val="00D760E7"/>
    <w:rsid w:val="00D77C8B"/>
    <w:rsid w:val="00D82AE0"/>
    <w:rsid w:val="00D9414D"/>
    <w:rsid w:val="00D95B48"/>
    <w:rsid w:val="00D97958"/>
    <w:rsid w:val="00DB0A82"/>
    <w:rsid w:val="00DB0D30"/>
    <w:rsid w:val="00DB2256"/>
    <w:rsid w:val="00DC5220"/>
    <w:rsid w:val="00DD0743"/>
    <w:rsid w:val="00DD2928"/>
    <w:rsid w:val="00DE77E4"/>
    <w:rsid w:val="00DF3E1E"/>
    <w:rsid w:val="00DF68FF"/>
    <w:rsid w:val="00DF7330"/>
    <w:rsid w:val="00E00828"/>
    <w:rsid w:val="00E17DDA"/>
    <w:rsid w:val="00E20432"/>
    <w:rsid w:val="00E31F97"/>
    <w:rsid w:val="00E367CE"/>
    <w:rsid w:val="00E407CB"/>
    <w:rsid w:val="00E41064"/>
    <w:rsid w:val="00E50F01"/>
    <w:rsid w:val="00E5548F"/>
    <w:rsid w:val="00E63318"/>
    <w:rsid w:val="00E67BEF"/>
    <w:rsid w:val="00E8582D"/>
    <w:rsid w:val="00E929A5"/>
    <w:rsid w:val="00E93EA8"/>
    <w:rsid w:val="00EA27B5"/>
    <w:rsid w:val="00EA2C0C"/>
    <w:rsid w:val="00EA36BE"/>
    <w:rsid w:val="00EB0FEF"/>
    <w:rsid w:val="00EC638E"/>
    <w:rsid w:val="00EE34D6"/>
    <w:rsid w:val="00EE4758"/>
    <w:rsid w:val="00EF487B"/>
    <w:rsid w:val="00EF7BE0"/>
    <w:rsid w:val="00F0079B"/>
    <w:rsid w:val="00F035C1"/>
    <w:rsid w:val="00F039FE"/>
    <w:rsid w:val="00F24449"/>
    <w:rsid w:val="00F27813"/>
    <w:rsid w:val="00F30990"/>
    <w:rsid w:val="00F30C9C"/>
    <w:rsid w:val="00F36945"/>
    <w:rsid w:val="00F70416"/>
    <w:rsid w:val="00F87125"/>
    <w:rsid w:val="00FA4B21"/>
    <w:rsid w:val="00FC2049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1F86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1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1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3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uals.sp.chfs.ky.gov/chapter4/10/Pages/411PrivateChildPlacing(PCP)orChildCaring(PCC)Agency.aspx" TargetMode="External"/><Relationship Id="rId18" Type="http://schemas.openxmlformats.org/officeDocument/2006/relationships/hyperlink" Target="https://manuals.sp.chfs.ky.gov/chapter4/12/Pages/4265EarlyPeriodicScreening,DiagnosisandTreatment(EPSDT).aspx" TargetMode="External"/><Relationship Id="rId26" Type="http://schemas.openxmlformats.org/officeDocument/2006/relationships/hyperlink" Target="https://manuals.sp.chfs.ky.gov/chapter%2012/22/Pages/126ResourceHomeParentsApprovedbyOtherStatesorLicensedChildPlacingAgencies.aspx" TargetMode="External"/><Relationship Id="rId39" Type="http://schemas.openxmlformats.org/officeDocument/2006/relationships/hyperlink" Target="https://manuals.sp.chfs.ky.gov/chapter4/10/Pages/4113ReviewsofLOCAssignment.aspx" TargetMode="External"/><Relationship Id="rId21" Type="http://schemas.openxmlformats.org/officeDocument/2006/relationships/hyperlink" Target="https://manuals.sp.chfs.ky.gov/chapter4/12/Pages/4275EndingUseofLifeSupportSystems.aspx" TargetMode="External"/><Relationship Id="rId34" Type="http://schemas.openxmlformats.org/officeDocument/2006/relationships/hyperlink" Target="https://manuals.sp.chfs.ky.gov/chapter%2012/24/Pages/1224PerDiemRates(Including%20Specialized%20Foster%20Care).aspx" TargetMode="External"/><Relationship Id="rId42" Type="http://schemas.openxmlformats.org/officeDocument/2006/relationships/hyperlink" Target="mailto:Tina.hagenbuch@ky.gov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manuals.sp.chfs.ky.gov/chapter4/12/Pages/424SSW'sOngoingContactwiththeBirthFamilyandChild,IncludingtheMedicallyFragileChild.aspx" TargetMode="External"/><Relationship Id="rId29" Type="http://schemas.openxmlformats.org/officeDocument/2006/relationships/hyperlink" Target="https://manuals.sp.chfs.ky.gov/chapter%2012/23/Pages/1212RespiteCare.aspx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manuals.sp.chfs.ky.gov/chapter4/15/Pages/454TransportationandOutofStateTravelwithaChildintheCustodyoftheCabinet.aspx" TargetMode="External"/><Relationship Id="rId32" Type="http://schemas.openxmlformats.org/officeDocument/2006/relationships/hyperlink" Target="https://manuals.sp.chfs.ky.gov/chapter%2012/23/Pages/12183MedicallyFragileHome.aspx" TargetMode="External"/><Relationship Id="rId37" Type="http://schemas.openxmlformats.org/officeDocument/2006/relationships/hyperlink" Target="https://manuals.sp.chfs.ky.gov/chapter1/00/Pages/18PreventionPlanning.aspx" TargetMode="External"/><Relationship Id="rId40" Type="http://schemas.openxmlformats.org/officeDocument/2006/relationships/hyperlink" Target="https://manuals.sp.chfs.ky.gov/chapter4/10/Pages/4114ChangeinLOCAssignment.aspx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manuals.sp.chfs.ky.gov/chapter4/10/Pages/4113ReviewsofLOCAssignment.aspx" TargetMode="External"/><Relationship Id="rId23" Type="http://schemas.openxmlformats.org/officeDocument/2006/relationships/hyperlink" Target="https://manuals.sp.chfs.ky.gov/chapter4/15/Pages/449DischargePlanningPriortoLeavingaHospitalorTreatmentFacility.aspx" TargetMode="External"/><Relationship Id="rId28" Type="http://schemas.openxmlformats.org/officeDocument/2006/relationships/hyperlink" Target="https://manuals.sp.chfs.ky.gov/chapter%2012/23/Pages/12111PlacementExceptionRequests.aspx" TargetMode="External"/><Relationship Id="rId36" Type="http://schemas.openxmlformats.org/officeDocument/2006/relationships/hyperlink" Target="https://manuals.sp.chfs.ky.gov/chapter%2012/24/Pages/1228RespiteExpenses.aspx" TargetMode="External"/><Relationship Id="rId49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manuals.sp.chfs.ky.gov/chapter4/12/Pages/4271IndividualHealthPlanfortheMedicallyFragileChild.aspx" TargetMode="External"/><Relationship Id="rId31" Type="http://schemas.openxmlformats.org/officeDocument/2006/relationships/hyperlink" Target="https://manuals.sp.chfs.ky.gov/chapter%2012/23/Pages/1218SpecializedFosterCareServices.aspx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nuals.sp.chfs.ky.gov/chapter4/10/Pages/4111LevelofCareAssignment.aspx" TargetMode="External"/><Relationship Id="rId22" Type="http://schemas.openxmlformats.org/officeDocument/2006/relationships/hyperlink" Target="https://manuals.sp.chfs.ky.gov/chapter4/12/Pages/4292TransitionPlanningforOOHCYouth.aspx" TargetMode="External"/><Relationship Id="rId27" Type="http://schemas.openxmlformats.org/officeDocument/2006/relationships/hyperlink" Target="https://manuals.sp.chfs.ky.gov/chapter%2012/23/Pages/1210RightsResponsibilitiesofDCBSResourceHomeParents.aspx" TargetMode="External"/><Relationship Id="rId30" Type="http://schemas.openxmlformats.org/officeDocument/2006/relationships/hyperlink" Target="https://manuals.sp.chfs.ky.gov/chapter%2012/23/Pages/1215OngoingTraining.aspx" TargetMode="External"/><Relationship Id="rId35" Type="http://schemas.openxmlformats.org/officeDocument/2006/relationships/hyperlink" Target="https://manuals.sp.chfs.ky.gov/chapter%2012/24/Pages/1227TransportationExpenses.asp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manuals.sp.chfs.ky.gov/chapter4/10/Pages/4102DCBSMedicallyFragilePlacement.aspx" TargetMode="External"/><Relationship Id="rId17" Type="http://schemas.openxmlformats.org/officeDocument/2006/relationships/hyperlink" Target="https://manuals.sp.chfs.ky.gov/chapter4/12/Pages/4261MedicalPassport.aspx" TargetMode="External"/><Relationship Id="rId25" Type="http://schemas.openxmlformats.org/officeDocument/2006/relationships/hyperlink" Target="https://manuals.sp.chfs.ky.gov/chapter4/15/Pages/4551PregnantYouth.aspx" TargetMode="External"/><Relationship Id="rId33" Type="http://schemas.openxmlformats.org/officeDocument/2006/relationships/hyperlink" Target="https://manuals.sp.chfs.ky.gov/chapter%2012/23/Pages/1219ClosureofaResourceHomeandReopening.aspx" TargetMode="External"/><Relationship Id="rId38" Type="http://schemas.openxmlformats.org/officeDocument/2006/relationships/hyperlink" Target="https://manuals.sp.chfs.ky.gov/chapter4/10/Pages/411PrivateChildPlacing(PCP)orChildCaring(PCC)Agency.aspx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manuals.sp.chfs.ky.gov/chapter4/12/Pages/4272ExtraordinaryMedicalCareMedicalExpensesofaMedicallyFragileChild.aspx" TargetMode="External"/><Relationship Id="rId41" Type="http://schemas.openxmlformats.org/officeDocument/2006/relationships/hyperlink" Target="mailto:dianec.glenn@ky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2014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BF2F8C-59C9-4E7C-82DE-4A20B78FE4E4}"/>
</file>

<file path=customXml/itemProps2.xml><?xml version="1.0" encoding="utf-8"?>
<ds:datastoreItem xmlns:ds="http://schemas.openxmlformats.org/officeDocument/2006/customXml" ds:itemID="{626280A5-BA47-4EA9-B46C-FF06C34DC647}"/>
</file>

<file path=customXml/itemProps3.xml><?xml version="1.0" encoding="utf-8"?>
<ds:datastoreItem xmlns:ds="http://schemas.openxmlformats.org/officeDocument/2006/customXml" ds:itemID="{5E5899E1-0927-4D33-A9FF-3881EBA850B5}"/>
</file>

<file path=customXml/itemProps4.xml><?xml version="1.0" encoding="utf-8"?>
<ds:datastoreItem xmlns:ds="http://schemas.openxmlformats.org/officeDocument/2006/customXml" ds:itemID="{220FA574-ED2F-4B78-B987-5A5068114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518</Words>
  <Characters>6268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14-02 Updated Reporting Book and School Notification</vt:lpstr>
    </vt:vector>
  </TitlesOfParts>
  <Company>OT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14-04 Medically Fragile Updates and Changes in Levels of Care</dc:title>
  <dc:creator>Beth.Holbrook</dc:creator>
  <cp:lastModifiedBy>sarah.cooper</cp:lastModifiedBy>
  <cp:revision>9</cp:revision>
  <cp:lastPrinted>2014-02-19T17:19:00Z</cp:lastPrinted>
  <dcterms:created xsi:type="dcterms:W3CDTF">2014-03-17T20:44:00Z</dcterms:created>
  <dcterms:modified xsi:type="dcterms:W3CDTF">2014-04-15T13:13:00Z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2014</vt:lpwstr>
  </property>
</Properties>
</file>